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25D9" w14:textId="77777777" w:rsidR="000404CD" w:rsidRDefault="000404CD" w:rsidP="008C2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pacing w:val="-2"/>
        </w:rPr>
      </w:pPr>
    </w:p>
    <w:p w14:paraId="52C7D2F8" w14:textId="77777777" w:rsidR="00244B1D" w:rsidRDefault="003B1CC8" w:rsidP="008C2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Maven Income and Growth VCT 3</w:t>
      </w:r>
      <w:r w:rsidR="00525C23" w:rsidRPr="00525C23">
        <w:rPr>
          <w:rFonts w:ascii="Arial" w:hAnsi="Arial" w:cs="Arial"/>
          <w:b/>
          <w:spacing w:val="-2"/>
        </w:rPr>
        <w:t xml:space="preserve"> PLC</w:t>
      </w:r>
      <w:r w:rsidR="006963F9" w:rsidRPr="00525C23">
        <w:rPr>
          <w:rFonts w:ascii="Arial" w:hAnsi="Arial" w:cs="Arial"/>
          <w:b/>
          <w:spacing w:val="-2"/>
        </w:rPr>
        <w:t xml:space="preserve"> (the Company)</w:t>
      </w:r>
    </w:p>
    <w:p w14:paraId="56F54577" w14:textId="77777777" w:rsidR="0023075F" w:rsidRPr="00525C23" w:rsidRDefault="00EE4069" w:rsidP="008C2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pacing w:val="-2"/>
        </w:rPr>
      </w:pPr>
      <w:r w:rsidRPr="00525C23">
        <w:rPr>
          <w:rFonts w:ascii="Arial" w:hAnsi="Arial" w:cs="Arial"/>
          <w:b/>
          <w:spacing w:val="-2"/>
        </w:rPr>
        <w:t>Result of Annual General Meeting</w:t>
      </w:r>
    </w:p>
    <w:p w14:paraId="1A76CA1D" w14:textId="77777777" w:rsidR="0007608C" w:rsidRDefault="0007608C" w:rsidP="008C2A35">
      <w:pPr>
        <w:ind w:right="-716"/>
        <w:rPr>
          <w:rFonts w:ascii="Arial" w:hAnsi="Arial" w:cs="Arial"/>
        </w:rPr>
      </w:pPr>
    </w:p>
    <w:p w14:paraId="5A3472E1" w14:textId="660E346B" w:rsidR="00440F3D" w:rsidRDefault="00440F3D" w:rsidP="008C2A35">
      <w:pPr>
        <w:pStyle w:val="Title"/>
        <w:jc w:val="left"/>
        <w:rPr>
          <w:rFonts w:cs="Arial"/>
          <w:b w:val="0"/>
          <w:spacing w:val="-2"/>
          <w:sz w:val="20"/>
        </w:rPr>
      </w:pPr>
      <w:r w:rsidRPr="009C34AC">
        <w:rPr>
          <w:rFonts w:cs="Arial"/>
          <w:b w:val="0"/>
          <w:spacing w:val="-2"/>
          <w:sz w:val="20"/>
        </w:rPr>
        <w:t>At the Annual General</w:t>
      </w:r>
      <w:r>
        <w:rPr>
          <w:rFonts w:cs="Arial"/>
          <w:b w:val="0"/>
          <w:spacing w:val="-2"/>
          <w:sz w:val="20"/>
        </w:rPr>
        <w:t xml:space="preserve"> Meeting of the Company held</w:t>
      </w:r>
      <w:r w:rsidR="0026137F">
        <w:rPr>
          <w:rFonts w:cs="Arial"/>
          <w:b w:val="0"/>
          <w:spacing w:val="-2"/>
          <w:sz w:val="20"/>
        </w:rPr>
        <w:t xml:space="preserve"> at</w:t>
      </w:r>
      <w:r>
        <w:rPr>
          <w:rFonts w:cs="Arial"/>
          <w:b w:val="0"/>
          <w:spacing w:val="-2"/>
          <w:sz w:val="20"/>
        </w:rPr>
        <w:t xml:space="preserve"> </w:t>
      </w:r>
      <w:proofErr w:type="spellStart"/>
      <w:r w:rsidR="00183303">
        <w:rPr>
          <w:rFonts w:cs="Arial"/>
          <w:b w:val="0"/>
          <w:spacing w:val="-2"/>
          <w:sz w:val="20"/>
        </w:rPr>
        <w:t>Kintyre</w:t>
      </w:r>
      <w:proofErr w:type="spellEnd"/>
      <w:r w:rsidR="00183303">
        <w:rPr>
          <w:rFonts w:cs="Arial"/>
          <w:b w:val="0"/>
          <w:spacing w:val="-2"/>
          <w:sz w:val="20"/>
        </w:rPr>
        <w:t xml:space="preserve"> House, 205 West George Street,</w:t>
      </w:r>
      <w:r w:rsidR="006D17D0">
        <w:rPr>
          <w:rFonts w:cs="Arial"/>
          <w:b w:val="0"/>
          <w:spacing w:val="-2"/>
          <w:sz w:val="20"/>
        </w:rPr>
        <w:t xml:space="preserve"> </w:t>
      </w:r>
      <w:r w:rsidRPr="009C34AC">
        <w:rPr>
          <w:rFonts w:cs="Arial"/>
          <w:b w:val="0"/>
          <w:spacing w:val="-2"/>
          <w:sz w:val="20"/>
        </w:rPr>
        <w:t xml:space="preserve">on </w:t>
      </w:r>
      <w:r w:rsidR="00183303">
        <w:rPr>
          <w:rFonts w:cs="Arial"/>
          <w:b w:val="0"/>
          <w:spacing w:val="-2"/>
          <w:sz w:val="20"/>
        </w:rPr>
        <w:t xml:space="preserve">Monday 24 April 2023 </w:t>
      </w:r>
      <w:r w:rsidRPr="009C34AC">
        <w:rPr>
          <w:rFonts w:cs="Arial"/>
          <w:b w:val="0"/>
          <w:spacing w:val="-2"/>
          <w:sz w:val="20"/>
        </w:rPr>
        <w:t xml:space="preserve">at </w:t>
      </w:r>
      <w:r w:rsidR="00183303">
        <w:rPr>
          <w:rFonts w:cs="Arial"/>
          <w:b w:val="0"/>
          <w:spacing w:val="-2"/>
          <w:sz w:val="20"/>
        </w:rPr>
        <w:t>12 noon</w:t>
      </w:r>
      <w:r w:rsidRPr="009C34AC">
        <w:rPr>
          <w:rFonts w:cs="Arial"/>
          <w:b w:val="0"/>
          <w:spacing w:val="-2"/>
          <w:sz w:val="20"/>
        </w:rPr>
        <w:t xml:space="preserve">, </w:t>
      </w:r>
      <w:proofErr w:type="gramStart"/>
      <w:r w:rsidRPr="009C34AC">
        <w:rPr>
          <w:rFonts w:cs="Arial"/>
          <w:b w:val="0"/>
          <w:spacing w:val="-2"/>
          <w:sz w:val="20"/>
        </w:rPr>
        <w:t>all of</w:t>
      </w:r>
      <w:proofErr w:type="gramEnd"/>
      <w:r w:rsidRPr="009C34AC">
        <w:rPr>
          <w:rFonts w:cs="Arial"/>
          <w:b w:val="0"/>
          <w:spacing w:val="-2"/>
          <w:sz w:val="20"/>
        </w:rPr>
        <w:t xml:space="preserve"> the Resolutions put to the Meeting were passed. </w:t>
      </w:r>
    </w:p>
    <w:p w14:paraId="2928125B" w14:textId="77777777" w:rsidR="00440F3D" w:rsidRDefault="00440F3D" w:rsidP="008C2A35">
      <w:pPr>
        <w:pStyle w:val="Title"/>
        <w:jc w:val="left"/>
        <w:rPr>
          <w:rFonts w:cs="Arial"/>
          <w:b w:val="0"/>
          <w:spacing w:val="-2"/>
          <w:sz w:val="20"/>
        </w:rPr>
      </w:pPr>
    </w:p>
    <w:tbl>
      <w:tblPr>
        <w:tblStyle w:val="TableGrid"/>
        <w:tblW w:w="10581" w:type="dxa"/>
        <w:jc w:val="right"/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1217"/>
        <w:gridCol w:w="1283"/>
        <w:gridCol w:w="1135"/>
        <w:gridCol w:w="1134"/>
        <w:gridCol w:w="1275"/>
      </w:tblGrid>
      <w:tr w:rsidR="00EE4069" w:rsidRPr="00A74717" w14:paraId="7A178009" w14:textId="77777777" w:rsidTr="00682001">
        <w:trPr>
          <w:jc w:val="right"/>
        </w:trPr>
        <w:tc>
          <w:tcPr>
            <w:tcW w:w="567" w:type="dxa"/>
            <w:shd w:val="clear" w:color="auto" w:fill="CCFFFF"/>
          </w:tcPr>
          <w:p w14:paraId="161C0323" w14:textId="77777777" w:rsidR="00EE4069" w:rsidRPr="00525C23" w:rsidRDefault="00EE4069" w:rsidP="00EE4069">
            <w:pPr>
              <w:pStyle w:val="Noparagraphstyle"/>
              <w:suppressAutoHyphens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CCFFFF"/>
          </w:tcPr>
          <w:p w14:paraId="4BB10A2A" w14:textId="77777777" w:rsidR="00EE4069" w:rsidRPr="00525C23" w:rsidRDefault="00EE4069" w:rsidP="00EE4069">
            <w:pPr>
              <w:pStyle w:val="Noparagraphstyle"/>
              <w:suppressAutoHyphens/>
              <w:rPr>
                <w:rFonts w:ascii="Arial" w:hAnsi="Arial" w:cs="Arial"/>
                <w:b/>
                <w:sz w:val="20"/>
              </w:rPr>
            </w:pPr>
            <w:r w:rsidRPr="00525C23">
              <w:rPr>
                <w:rFonts w:ascii="Arial" w:hAnsi="Arial" w:cs="Arial"/>
                <w:b/>
                <w:sz w:val="20"/>
              </w:rPr>
              <w:t>Resolutions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CCFFFF"/>
          </w:tcPr>
          <w:p w14:paraId="61DFCCCA" w14:textId="77777777" w:rsidR="00EE4069" w:rsidRPr="00525C23" w:rsidRDefault="00EE4069" w:rsidP="008C2A35">
            <w:pPr>
              <w:pStyle w:val="Noparagraphstyle"/>
              <w:suppressAutoHyphens/>
              <w:jc w:val="right"/>
              <w:rPr>
                <w:rFonts w:ascii="Arial" w:hAnsi="Arial" w:cs="Arial"/>
                <w:b/>
                <w:sz w:val="20"/>
              </w:rPr>
            </w:pPr>
            <w:r w:rsidRPr="00525C23">
              <w:rPr>
                <w:rFonts w:ascii="Arial" w:hAnsi="Arial" w:cs="Arial"/>
                <w:b/>
                <w:sz w:val="20"/>
              </w:rPr>
              <w:t>For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CCFFFF"/>
          </w:tcPr>
          <w:p w14:paraId="61C051EC" w14:textId="77777777" w:rsidR="00EE4069" w:rsidRPr="00525C23" w:rsidRDefault="00EE4069" w:rsidP="008C2A35">
            <w:pPr>
              <w:pStyle w:val="Noparagraphstyle"/>
              <w:suppressAutoHyphens/>
              <w:jc w:val="right"/>
              <w:rPr>
                <w:rFonts w:ascii="Arial" w:hAnsi="Arial" w:cs="Arial"/>
                <w:b/>
                <w:sz w:val="20"/>
              </w:rPr>
            </w:pPr>
            <w:r w:rsidRPr="00525C23">
              <w:rPr>
                <w:rFonts w:ascii="Arial" w:hAnsi="Arial" w:cs="Arial"/>
                <w:b/>
                <w:sz w:val="20"/>
              </w:rPr>
              <w:t>Discretion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CFFFF"/>
          </w:tcPr>
          <w:p w14:paraId="2A13C432" w14:textId="77777777" w:rsidR="00EE4069" w:rsidRPr="00525C23" w:rsidRDefault="00EE4069" w:rsidP="008C2A35">
            <w:pPr>
              <w:pStyle w:val="Noparagraphstyle"/>
              <w:suppressAutoHyphens/>
              <w:jc w:val="right"/>
              <w:rPr>
                <w:rFonts w:ascii="Arial" w:hAnsi="Arial" w:cs="Arial"/>
                <w:b/>
                <w:sz w:val="20"/>
              </w:rPr>
            </w:pPr>
            <w:r w:rsidRPr="00525C23">
              <w:rPr>
                <w:rFonts w:ascii="Arial" w:hAnsi="Arial" w:cs="Arial"/>
                <w:b/>
                <w:sz w:val="20"/>
              </w:rPr>
              <w:t>Against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FFFF"/>
          </w:tcPr>
          <w:p w14:paraId="535A767F" w14:textId="77777777" w:rsidR="00EE4069" w:rsidRPr="00525C23" w:rsidRDefault="00EE4069" w:rsidP="008C2A35">
            <w:pPr>
              <w:pStyle w:val="Noparagraphstyle"/>
              <w:suppressAutoHyphens/>
              <w:jc w:val="right"/>
              <w:rPr>
                <w:rFonts w:ascii="Arial" w:hAnsi="Arial" w:cs="Arial"/>
                <w:b/>
                <w:sz w:val="20"/>
              </w:rPr>
            </w:pPr>
            <w:r w:rsidRPr="00525C23">
              <w:rPr>
                <w:rFonts w:ascii="Arial" w:hAnsi="Arial" w:cs="Arial"/>
                <w:b/>
                <w:sz w:val="20"/>
              </w:rPr>
              <w:t>Withheld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FFFF"/>
          </w:tcPr>
          <w:p w14:paraId="5080D927" w14:textId="77777777" w:rsidR="00EE4069" w:rsidRPr="00525C23" w:rsidRDefault="00EE4069" w:rsidP="008C2A35">
            <w:pPr>
              <w:pStyle w:val="Noparagraphstyle"/>
              <w:suppressAutoHyphens/>
              <w:jc w:val="right"/>
              <w:rPr>
                <w:rFonts w:ascii="Arial" w:hAnsi="Arial" w:cs="Arial"/>
                <w:b/>
                <w:sz w:val="20"/>
              </w:rPr>
            </w:pPr>
            <w:r w:rsidRPr="00525C23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682001" w:rsidRPr="000E16B7" w14:paraId="282DE48C" w14:textId="77777777" w:rsidTr="00682001">
        <w:trPr>
          <w:jc w:val="right"/>
        </w:trPr>
        <w:tc>
          <w:tcPr>
            <w:tcW w:w="567" w:type="dxa"/>
          </w:tcPr>
          <w:p w14:paraId="7297D56C" w14:textId="77777777" w:rsidR="00682001" w:rsidRPr="000E16B7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0E16B7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FB0" w14:textId="13546CA6" w:rsidR="00682001" w:rsidRPr="00A70A78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DE08A2">
              <w:rPr>
                <w:rFonts w:ascii="Arial" w:hAnsi="Arial" w:cs="Arial"/>
                <w:color w:val="000000" w:themeColor="text1"/>
                <w:sz w:val="20"/>
              </w:rPr>
              <w:t>To receive the Directors’ Report and audited Financial Statements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2BBA" w14:textId="0236C384" w:rsidR="00682001" w:rsidRPr="00C833CA" w:rsidRDefault="0048458B" w:rsidP="00682001">
            <w:pPr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6,293,141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61C6" w14:textId="4794876F" w:rsidR="00682001" w:rsidRPr="00C833CA" w:rsidRDefault="0048458B" w:rsidP="00682001">
            <w:pPr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173,122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D5A7" w14:textId="47532988" w:rsidR="00682001" w:rsidRPr="00C833CA" w:rsidRDefault="0048458B" w:rsidP="00682001">
            <w:pPr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13,995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30A6" w14:textId="25E2D501" w:rsidR="00682001" w:rsidRPr="00C833CA" w:rsidRDefault="00417E48" w:rsidP="00682001">
            <w:pPr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10,764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26FE" w14:textId="59CB187A" w:rsidR="00682001" w:rsidRPr="00C833CA" w:rsidRDefault="00417E48" w:rsidP="00682001">
            <w:pPr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  <w:tr w:rsidR="00682001" w:rsidRPr="000E16B7" w14:paraId="0B7A56CF" w14:textId="77777777" w:rsidTr="00682001">
        <w:trPr>
          <w:jc w:val="right"/>
        </w:trPr>
        <w:tc>
          <w:tcPr>
            <w:tcW w:w="567" w:type="dxa"/>
          </w:tcPr>
          <w:p w14:paraId="03A59585" w14:textId="77777777" w:rsidR="00682001" w:rsidRPr="000E16B7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0E16B7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DD0" w14:textId="77777777" w:rsidR="00682001" w:rsidRPr="00DE08A2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DE08A2">
              <w:rPr>
                <w:rFonts w:ascii="Arial" w:hAnsi="Arial" w:cs="Arial"/>
                <w:color w:val="000000" w:themeColor="text1"/>
                <w:sz w:val="20"/>
              </w:rPr>
              <w:t xml:space="preserve">To approve the Directors’ Remuneration Report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4469" w14:textId="4AB0F447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6,038,582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2B30" w14:textId="757A433F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232,128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C660" w14:textId="47775AD7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162,013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271F" w14:textId="0B1AD39E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58,299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865D" w14:textId="6E655F83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  <w:tr w:rsidR="00183303" w:rsidRPr="00DE08A2" w14:paraId="6D759A11" w14:textId="77777777" w:rsidTr="00682001">
        <w:trPr>
          <w:jc w:val="right"/>
        </w:trPr>
        <w:tc>
          <w:tcPr>
            <w:tcW w:w="567" w:type="dxa"/>
          </w:tcPr>
          <w:p w14:paraId="7CE2075E" w14:textId="21029A0F" w:rsidR="00183303" w:rsidRPr="00DE08A2" w:rsidRDefault="00183303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96CA" w14:textId="484B8CF9" w:rsidR="00183303" w:rsidRPr="00DE08A2" w:rsidRDefault="00183303" w:rsidP="0068200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To approve the Directors’ Remuneration Policy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7DC1" w14:textId="267F0B6F" w:rsidR="00183303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5,788,540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1BB3" w14:textId="6BE1D3CE" w:rsidR="00183303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247,253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598C" w14:textId="71111DE0" w:rsidR="00183303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268,580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408D" w14:textId="7E438854" w:rsidR="00183303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186,649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4242" w14:textId="420E1069" w:rsidR="00183303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  <w:tr w:rsidR="00682001" w:rsidRPr="00DE08A2" w14:paraId="3FC3DCDF" w14:textId="77777777" w:rsidTr="00682001">
        <w:trPr>
          <w:jc w:val="right"/>
        </w:trPr>
        <w:tc>
          <w:tcPr>
            <w:tcW w:w="567" w:type="dxa"/>
          </w:tcPr>
          <w:p w14:paraId="0C3C9EEF" w14:textId="209D8751" w:rsidR="00682001" w:rsidRPr="00DE08A2" w:rsidRDefault="00183303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B94" w14:textId="2D6DCFFB" w:rsidR="00682001" w:rsidRPr="00DE08A2" w:rsidRDefault="00682001" w:rsidP="0068200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DE08A2">
              <w:rPr>
                <w:rFonts w:ascii="Arial" w:hAnsi="Arial" w:cs="Arial"/>
                <w:color w:val="000000" w:themeColor="text1"/>
                <w:lang w:val="en-GB"/>
              </w:rPr>
              <w:t>To approve a final dividend payment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3B72" w14:textId="5FC9DE3E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6,297,123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6479" w14:textId="68EAFEC2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162,876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4AB3" w14:textId="2DF3779E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9F93" w14:textId="4F3112B1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AF7B" w14:textId="309874AC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  <w:tr w:rsidR="00682001" w:rsidRPr="00DE08A2" w14:paraId="11B7CEC0" w14:textId="77777777" w:rsidTr="00682001">
        <w:trPr>
          <w:jc w:val="right"/>
        </w:trPr>
        <w:tc>
          <w:tcPr>
            <w:tcW w:w="567" w:type="dxa"/>
          </w:tcPr>
          <w:p w14:paraId="6F60FF70" w14:textId="4952530A" w:rsidR="00682001" w:rsidRPr="00DE08A2" w:rsidRDefault="00183303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D63" w14:textId="77777777" w:rsidR="00682001" w:rsidRPr="00DE08A2" w:rsidRDefault="00682001" w:rsidP="0068200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DE08A2">
              <w:rPr>
                <w:rFonts w:ascii="Arial" w:hAnsi="Arial" w:cs="Arial"/>
                <w:color w:val="000000" w:themeColor="text1"/>
                <w:lang w:val="en-GB"/>
              </w:rPr>
              <w:t>To re-elect Atul Devani as a Director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58FD" w14:textId="0DCC2F5C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6,111,108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BCA6" w14:textId="7C8E54FF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228,663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04DE" w14:textId="2CAF1480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AD50" w14:textId="50B4DC8B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A8DC" w14:textId="63C0ACDE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  <w:tr w:rsidR="00682001" w:rsidRPr="00DE08A2" w14:paraId="6C3AFCDE" w14:textId="77777777" w:rsidTr="00682001">
        <w:trPr>
          <w:jc w:val="right"/>
        </w:trPr>
        <w:tc>
          <w:tcPr>
            <w:tcW w:w="567" w:type="dxa"/>
          </w:tcPr>
          <w:p w14:paraId="6AE15FA1" w14:textId="57868758" w:rsidR="00682001" w:rsidRPr="00DE08A2" w:rsidRDefault="00183303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6CD" w14:textId="3E37801E" w:rsidR="00682001" w:rsidRPr="00DE08A2" w:rsidRDefault="00682001" w:rsidP="0068200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DE08A2">
              <w:rPr>
                <w:rFonts w:ascii="Arial" w:hAnsi="Arial" w:cs="Arial"/>
                <w:color w:val="000000" w:themeColor="text1"/>
                <w:lang w:val="en-GB"/>
              </w:rPr>
              <w:t>To re-elect David Allan as a Director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254B" w14:textId="1CD4A3EF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6,145,552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7A86" w14:textId="508389C4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225,008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3D13" w14:textId="6719D710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C5F0" w14:textId="26C1E2EF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5F54" w14:textId="71B4BE4D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  <w:tr w:rsidR="00682001" w:rsidRPr="00DE08A2" w14:paraId="0D7B2327" w14:textId="77777777" w:rsidTr="00682001">
        <w:trPr>
          <w:jc w:val="right"/>
        </w:trPr>
        <w:tc>
          <w:tcPr>
            <w:tcW w:w="567" w:type="dxa"/>
          </w:tcPr>
          <w:p w14:paraId="53835286" w14:textId="1305E91A" w:rsidR="00682001" w:rsidRPr="00DE08A2" w:rsidRDefault="00183303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00D" w14:textId="77777777" w:rsidR="00682001" w:rsidRPr="00DE08A2" w:rsidRDefault="00682001" w:rsidP="0068200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DE08A2">
              <w:rPr>
                <w:rFonts w:ascii="Arial" w:hAnsi="Arial" w:cs="Arial"/>
                <w:color w:val="000000" w:themeColor="text1"/>
                <w:lang w:val="en-GB"/>
              </w:rPr>
              <w:t>To re-elect Bill Nixon as a Director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C69B" w14:textId="19F6845D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6,125,828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E0BB" w14:textId="52E30EA7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238,656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3728" w14:textId="780BBC6C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CF7A" w14:textId="0D01433B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57,798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3BE9" w14:textId="3DF58144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  <w:tr w:rsidR="00682001" w:rsidRPr="00DE08A2" w14:paraId="5B85304B" w14:textId="77777777" w:rsidTr="00682001">
        <w:trPr>
          <w:trHeight w:val="341"/>
          <w:jc w:val="right"/>
        </w:trPr>
        <w:tc>
          <w:tcPr>
            <w:tcW w:w="567" w:type="dxa"/>
          </w:tcPr>
          <w:p w14:paraId="5521EDB9" w14:textId="0950E558" w:rsidR="00682001" w:rsidRPr="00DE08A2" w:rsidRDefault="00183303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B916" w14:textId="56B298F2" w:rsidR="00682001" w:rsidRPr="00DE08A2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DE08A2">
              <w:rPr>
                <w:rFonts w:ascii="Arial" w:hAnsi="Arial" w:cs="Arial"/>
                <w:color w:val="000000" w:themeColor="text1"/>
                <w:sz w:val="20"/>
              </w:rPr>
              <w:t>To re-elect Keith Pickering as a Director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E4388" w14:textId="7621254C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6,153,750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7746" w14:textId="17985768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234,550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7B1D" w14:textId="0D917F36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FAB2" w14:textId="7D0692B7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85D7" w14:textId="0E6CD9C2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  <w:tr w:rsidR="00682001" w:rsidRPr="00DE08A2" w14:paraId="06F7157C" w14:textId="77777777" w:rsidTr="00682001">
        <w:trPr>
          <w:trHeight w:val="341"/>
          <w:jc w:val="right"/>
        </w:trPr>
        <w:tc>
          <w:tcPr>
            <w:tcW w:w="567" w:type="dxa"/>
          </w:tcPr>
          <w:p w14:paraId="480049E9" w14:textId="2E3F7CEF" w:rsidR="00682001" w:rsidRPr="00DE08A2" w:rsidRDefault="00183303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911" w14:textId="79B19C4C" w:rsidR="00682001" w:rsidRPr="00DE08A2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DE08A2">
              <w:rPr>
                <w:rFonts w:ascii="Arial" w:hAnsi="Arial" w:cs="Arial"/>
                <w:color w:val="000000" w:themeColor="text1"/>
                <w:sz w:val="20"/>
              </w:rPr>
              <w:t xml:space="preserve">To </w:t>
            </w:r>
            <w:r w:rsidR="00DC36F5"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Pr="00DE08A2">
              <w:rPr>
                <w:rFonts w:ascii="Arial" w:hAnsi="Arial" w:cs="Arial"/>
                <w:color w:val="000000" w:themeColor="text1"/>
                <w:sz w:val="20"/>
              </w:rPr>
              <w:t xml:space="preserve">ppoint </w:t>
            </w:r>
            <w:r w:rsidR="00183303">
              <w:rPr>
                <w:rFonts w:ascii="Arial" w:hAnsi="Arial" w:cs="Arial"/>
                <w:color w:val="000000" w:themeColor="text1"/>
                <w:sz w:val="20"/>
              </w:rPr>
              <w:t>Johnston Carmichael LLP</w:t>
            </w:r>
            <w:r w:rsidRPr="00DE08A2">
              <w:rPr>
                <w:rFonts w:ascii="Arial" w:hAnsi="Arial" w:cs="Arial"/>
                <w:color w:val="000000" w:themeColor="text1"/>
                <w:sz w:val="20"/>
              </w:rPr>
              <w:t xml:space="preserve"> as Auditor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D0D2" w14:textId="79317F12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6,187,937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D47D" w14:textId="7BB52269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184,091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B533" w14:textId="3B5215DC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2DAF" w14:textId="5D548180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6958" w14:textId="00EAA8F8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  <w:tr w:rsidR="00682001" w:rsidRPr="00DE08A2" w14:paraId="0B4D7518" w14:textId="77777777" w:rsidTr="00682001">
        <w:trPr>
          <w:trHeight w:val="274"/>
          <w:jc w:val="right"/>
        </w:trPr>
        <w:tc>
          <w:tcPr>
            <w:tcW w:w="567" w:type="dxa"/>
          </w:tcPr>
          <w:p w14:paraId="4FFFF895" w14:textId="1D95C4D9" w:rsidR="00682001" w:rsidRPr="00DE08A2" w:rsidRDefault="00183303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515C" w14:textId="62424A58" w:rsidR="00682001" w:rsidRPr="00DE08A2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DE08A2">
              <w:rPr>
                <w:rFonts w:ascii="Arial" w:hAnsi="Arial" w:cs="Arial"/>
                <w:color w:val="000000" w:themeColor="text1"/>
                <w:sz w:val="20"/>
              </w:rPr>
              <w:t>To authorise the Directors to fix the remuneration of the Auditor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F91D" w14:textId="4365096C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6,256,536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73FA" w14:textId="7E0F690B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179,224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F844" w14:textId="7F01ED02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1640" w14:textId="7094467E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12,737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9561" w14:textId="4560DC21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  <w:tr w:rsidR="00682001" w:rsidRPr="00DE08A2" w14:paraId="3F9C2D70" w14:textId="77777777" w:rsidTr="00682001">
        <w:trPr>
          <w:trHeight w:val="547"/>
          <w:jc w:val="right"/>
        </w:trPr>
        <w:tc>
          <w:tcPr>
            <w:tcW w:w="567" w:type="dxa"/>
          </w:tcPr>
          <w:p w14:paraId="3591DECE" w14:textId="3D7F1210" w:rsidR="00682001" w:rsidRPr="00DE08A2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DE08A2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="00183303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4A72" w14:textId="77777777" w:rsidR="00682001" w:rsidRPr="00DE08A2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DE08A2">
              <w:rPr>
                <w:rFonts w:ascii="Arial" w:hAnsi="Arial" w:cs="Arial"/>
                <w:color w:val="000000" w:themeColor="text1"/>
                <w:sz w:val="20"/>
              </w:rPr>
              <w:t>To authorise the Directors to allot new shares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C770" w14:textId="242C7CDD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5,688,278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ED3A" w14:textId="320B863C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180,306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A63C" w14:textId="31371A25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531,736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0F4F" w14:textId="21B5E315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166D" w14:textId="2FE9B402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  <w:tr w:rsidR="00682001" w:rsidRPr="00DE08A2" w14:paraId="1189D7DD" w14:textId="77777777" w:rsidTr="00682001">
        <w:trPr>
          <w:jc w:val="right"/>
        </w:trPr>
        <w:tc>
          <w:tcPr>
            <w:tcW w:w="567" w:type="dxa"/>
          </w:tcPr>
          <w:p w14:paraId="6587F35B" w14:textId="3B40F005" w:rsidR="00682001" w:rsidRPr="00DE08A2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DE08A2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="00183303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E9D0" w14:textId="77777777" w:rsidR="00682001" w:rsidRPr="00DE08A2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DE08A2">
              <w:rPr>
                <w:rFonts w:ascii="Arial" w:hAnsi="Arial" w:cs="Arial"/>
                <w:color w:val="000000" w:themeColor="text1"/>
                <w:sz w:val="20"/>
              </w:rPr>
              <w:t>To authorise disapplication of pre-emption rights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9ECA" w14:textId="52718197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5,437,776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7723" w14:textId="2965D0C8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163,876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45B1" w14:textId="0FC547EC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844,717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782F" w14:textId="6EFF0DE4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44,653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7797" w14:textId="33AB83C0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  <w:tr w:rsidR="00682001" w:rsidRPr="00DE08A2" w14:paraId="0F7229CF" w14:textId="77777777" w:rsidTr="00682001">
        <w:trPr>
          <w:jc w:val="right"/>
        </w:trPr>
        <w:tc>
          <w:tcPr>
            <w:tcW w:w="567" w:type="dxa"/>
          </w:tcPr>
          <w:p w14:paraId="702B0470" w14:textId="21247948" w:rsidR="00682001" w:rsidRPr="00DE08A2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DE08A2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="00183303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1DA5" w14:textId="77777777" w:rsidR="00682001" w:rsidRPr="00DE08A2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DE08A2">
              <w:rPr>
                <w:rFonts w:ascii="Arial" w:hAnsi="Arial" w:cs="Arial"/>
                <w:color w:val="000000" w:themeColor="text1"/>
                <w:sz w:val="20"/>
              </w:rPr>
              <w:t>To authorise the Company to purchase its own shares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1E95" w14:textId="3CA19E6C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5,589,688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F339" w14:textId="1820A12A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163,876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BB48" w14:textId="7A4BE9E9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732,634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9073" w14:textId="2DC821D7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56B4" w14:textId="55EA1A1E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  <w:tr w:rsidR="00682001" w:rsidRPr="000E16B7" w14:paraId="2E6D8A50" w14:textId="77777777" w:rsidTr="00682001">
        <w:trPr>
          <w:jc w:val="right"/>
        </w:trPr>
        <w:tc>
          <w:tcPr>
            <w:tcW w:w="567" w:type="dxa"/>
          </w:tcPr>
          <w:p w14:paraId="29BAABB0" w14:textId="2C6114EE" w:rsidR="00682001" w:rsidRPr="00DE08A2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DE08A2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="00183303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4F55" w14:textId="77777777" w:rsidR="00682001" w:rsidRPr="00DE08A2" w:rsidRDefault="00682001" w:rsidP="00682001">
            <w:pPr>
              <w:pStyle w:val="Noparagraphstyle"/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DE08A2">
              <w:rPr>
                <w:rFonts w:ascii="Arial" w:hAnsi="Arial" w:cs="Arial"/>
                <w:color w:val="000000" w:themeColor="text1"/>
                <w:sz w:val="20"/>
              </w:rPr>
              <w:t>To allow a General Meeting to be called on not less than 14 days’ notice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6C42" w14:textId="60FEF2A2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5,970,210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0DE5" w14:textId="47F33313" w:rsidR="00682001" w:rsidRPr="00C833CA" w:rsidRDefault="0048458B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186,185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F603" w14:textId="7D86D4BA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298,509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B99E" w14:textId="36839653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36,118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A4C8" w14:textId="10F8C1AD" w:rsidR="00682001" w:rsidRPr="00C833CA" w:rsidRDefault="00417E48" w:rsidP="00682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6,491,022</w:t>
            </w:r>
          </w:p>
        </w:tc>
      </w:tr>
    </w:tbl>
    <w:p w14:paraId="60494A02" w14:textId="77777777" w:rsidR="00A74717" w:rsidRPr="000E16B7" w:rsidRDefault="00A74717" w:rsidP="008C2A35">
      <w:pPr>
        <w:ind w:right="-716"/>
        <w:rPr>
          <w:rFonts w:ascii="Arial" w:hAnsi="Arial" w:cs="Arial"/>
          <w:color w:val="000000" w:themeColor="text1"/>
        </w:rPr>
      </w:pPr>
    </w:p>
    <w:p w14:paraId="2D12DF6F" w14:textId="6047BC86" w:rsidR="009D2EEC" w:rsidRDefault="00EE4069" w:rsidP="008C2A35">
      <w:pPr>
        <w:rPr>
          <w:rFonts w:ascii="Arial" w:hAnsi="Arial" w:cs="Arial"/>
          <w:spacing w:val="-2"/>
        </w:rPr>
      </w:pPr>
      <w:r w:rsidRPr="00A74717">
        <w:rPr>
          <w:rFonts w:ascii="Arial" w:hAnsi="Arial" w:cs="Arial"/>
        </w:rPr>
        <w:t>A vot</w:t>
      </w:r>
      <w:r w:rsidR="00B93A9B">
        <w:rPr>
          <w:rFonts w:ascii="Arial" w:hAnsi="Arial" w:cs="Arial"/>
        </w:rPr>
        <w:t>e withheld is not a vote in law and</w:t>
      </w:r>
      <w:r w:rsidRPr="00A74717">
        <w:rPr>
          <w:rFonts w:ascii="Arial" w:hAnsi="Arial" w:cs="Arial"/>
        </w:rPr>
        <w:t xml:space="preserve"> any such votes have not been included in the votes for or against </w:t>
      </w:r>
      <w:r w:rsidR="00256CBC">
        <w:rPr>
          <w:rFonts w:ascii="Arial" w:hAnsi="Arial" w:cs="Arial"/>
        </w:rPr>
        <w:t>t</w:t>
      </w:r>
      <w:r w:rsidRPr="00A74717">
        <w:rPr>
          <w:rFonts w:ascii="Arial" w:hAnsi="Arial" w:cs="Arial"/>
        </w:rPr>
        <w:t>he</w:t>
      </w:r>
      <w:r w:rsidR="00B55E4B" w:rsidRPr="00A74717">
        <w:rPr>
          <w:rFonts w:ascii="Arial" w:hAnsi="Arial" w:cs="Arial"/>
        </w:rPr>
        <w:t xml:space="preserve"> </w:t>
      </w:r>
      <w:r w:rsidRPr="00A74717">
        <w:rPr>
          <w:rFonts w:ascii="Arial" w:hAnsi="Arial" w:cs="Arial"/>
        </w:rPr>
        <w:t>respective Resolutions.</w:t>
      </w:r>
      <w:r w:rsidR="0007608C">
        <w:rPr>
          <w:rFonts w:ascii="Arial" w:hAnsi="Arial" w:cs="Arial"/>
        </w:rPr>
        <w:t xml:space="preserve"> </w:t>
      </w:r>
    </w:p>
    <w:p w14:paraId="27CCF081" w14:textId="7C335363" w:rsidR="008C2A35" w:rsidRDefault="008C2A35" w:rsidP="008C2A35">
      <w:pPr>
        <w:rPr>
          <w:rFonts w:ascii="Arial" w:hAnsi="Arial" w:cs="Arial"/>
          <w:spacing w:val="-2"/>
        </w:rPr>
      </w:pPr>
    </w:p>
    <w:p w14:paraId="5812E497" w14:textId="77777777" w:rsidR="008C2A35" w:rsidRPr="00A74717" w:rsidRDefault="008C2A35" w:rsidP="008C2A35">
      <w:pPr>
        <w:rPr>
          <w:rFonts w:ascii="Arial" w:hAnsi="Arial" w:cs="Arial"/>
        </w:rPr>
      </w:pPr>
    </w:p>
    <w:sectPr w:rsidR="008C2A35" w:rsidRPr="00A74717" w:rsidSect="008C2A35">
      <w:headerReference w:type="even" r:id="rId7"/>
      <w:headerReference w:type="default" r:id="rId8"/>
      <w:pgSz w:w="11906" w:h="16838" w:code="9"/>
      <w:pgMar w:top="426" w:right="707" w:bottom="142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3FAC" w14:textId="77777777" w:rsidR="007F11FB" w:rsidRDefault="007F11FB">
      <w:r>
        <w:separator/>
      </w:r>
    </w:p>
  </w:endnote>
  <w:endnote w:type="continuationSeparator" w:id="0">
    <w:p w14:paraId="5BF10879" w14:textId="77777777" w:rsidR="007F11FB" w:rsidRDefault="007F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52CF" w14:textId="77777777" w:rsidR="007F11FB" w:rsidRDefault="007F11FB">
      <w:r>
        <w:separator/>
      </w:r>
    </w:p>
  </w:footnote>
  <w:footnote w:type="continuationSeparator" w:id="0">
    <w:p w14:paraId="64735C1F" w14:textId="77777777" w:rsidR="007F11FB" w:rsidRDefault="007F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BBB0" w14:textId="79CC82ED" w:rsidR="005E33C6" w:rsidRDefault="004E2D5F">
    <w:pPr>
      <w:pStyle w:val="Header"/>
    </w:pPr>
    <w:r>
      <w:rPr>
        <w:noProof/>
      </w:rPr>
      <w:pict w14:anchorId="3D3372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618579" o:spid="_x0000_s6148" type="#_x0000_t136" style="position:absolute;margin-left:0;margin-top:0;width:473.25pt;height:189.3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C5BB" w14:textId="398CD2EE" w:rsidR="00DC272E" w:rsidRDefault="004E2D5F">
    <w:pPr>
      <w:pStyle w:val="Header"/>
    </w:pPr>
    <w:r>
      <w:rPr>
        <w:noProof/>
      </w:rPr>
      <w:pict w14:anchorId="2E70D4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618580" o:spid="_x0000_s6149" type="#_x0000_t136" style="position:absolute;margin-left:0;margin-top:0;width:473.25pt;height:189.3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EF"/>
    <w:rsid w:val="00013DB4"/>
    <w:rsid w:val="000404CD"/>
    <w:rsid w:val="00045AFA"/>
    <w:rsid w:val="00072A10"/>
    <w:rsid w:val="0007608C"/>
    <w:rsid w:val="00076D21"/>
    <w:rsid w:val="00083B5D"/>
    <w:rsid w:val="000A0CF3"/>
    <w:rsid w:val="000A5E59"/>
    <w:rsid w:val="000B30F4"/>
    <w:rsid w:val="000B7853"/>
    <w:rsid w:val="000D50CA"/>
    <w:rsid w:val="000E03DF"/>
    <w:rsid w:val="000E16B7"/>
    <w:rsid w:val="000F07F3"/>
    <w:rsid w:val="00144670"/>
    <w:rsid w:val="00165CED"/>
    <w:rsid w:val="0017781F"/>
    <w:rsid w:val="00183303"/>
    <w:rsid w:val="00192DDE"/>
    <w:rsid w:val="001A06A6"/>
    <w:rsid w:val="001C5073"/>
    <w:rsid w:val="001D558D"/>
    <w:rsid w:val="001E53A7"/>
    <w:rsid w:val="002048DF"/>
    <w:rsid w:val="00206A16"/>
    <w:rsid w:val="00216557"/>
    <w:rsid w:val="00221B3F"/>
    <w:rsid w:val="0023075F"/>
    <w:rsid w:val="00232853"/>
    <w:rsid w:val="00240539"/>
    <w:rsid w:val="00244B1D"/>
    <w:rsid w:val="00256CBC"/>
    <w:rsid w:val="0026137F"/>
    <w:rsid w:val="00265D7D"/>
    <w:rsid w:val="0028792D"/>
    <w:rsid w:val="00293B72"/>
    <w:rsid w:val="002A02ED"/>
    <w:rsid w:val="002D6DF1"/>
    <w:rsid w:val="002E5266"/>
    <w:rsid w:val="002F3754"/>
    <w:rsid w:val="00313A47"/>
    <w:rsid w:val="00315126"/>
    <w:rsid w:val="003268B6"/>
    <w:rsid w:val="00334FB2"/>
    <w:rsid w:val="00342BCF"/>
    <w:rsid w:val="00363078"/>
    <w:rsid w:val="0038301D"/>
    <w:rsid w:val="00385B97"/>
    <w:rsid w:val="003B1CC8"/>
    <w:rsid w:val="003E6271"/>
    <w:rsid w:val="00402079"/>
    <w:rsid w:val="00402707"/>
    <w:rsid w:val="004047EF"/>
    <w:rsid w:val="00413450"/>
    <w:rsid w:val="00414B93"/>
    <w:rsid w:val="00417E48"/>
    <w:rsid w:val="00422C29"/>
    <w:rsid w:val="00432579"/>
    <w:rsid w:val="00436AB5"/>
    <w:rsid w:val="00437D29"/>
    <w:rsid w:val="00440F3D"/>
    <w:rsid w:val="004424DE"/>
    <w:rsid w:val="00443BC6"/>
    <w:rsid w:val="0048458B"/>
    <w:rsid w:val="004974AE"/>
    <w:rsid w:val="004A1FC6"/>
    <w:rsid w:val="004A2641"/>
    <w:rsid w:val="004A3011"/>
    <w:rsid w:val="004B7E57"/>
    <w:rsid w:val="004E0974"/>
    <w:rsid w:val="004F7C6F"/>
    <w:rsid w:val="0050027C"/>
    <w:rsid w:val="00515799"/>
    <w:rsid w:val="00525C23"/>
    <w:rsid w:val="00541B14"/>
    <w:rsid w:val="00543BBA"/>
    <w:rsid w:val="00563694"/>
    <w:rsid w:val="0057054D"/>
    <w:rsid w:val="00583068"/>
    <w:rsid w:val="00594127"/>
    <w:rsid w:val="005B0214"/>
    <w:rsid w:val="005B77E0"/>
    <w:rsid w:val="005C0A0E"/>
    <w:rsid w:val="005C1525"/>
    <w:rsid w:val="005E33C6"/>
    <w:rsid w:val="00605E3F"/>
    <w:rsid w:val="0061645C"/>
    <w:rsid w:val="00653A5E"/>
    <w:rsid w:val="00670577"/>
    <w:rsid w:val="0067071A"/>
    <w:rsid w:val="00682001"/>
    <w:rsid w:val="006829E9"/>
    <w:rsid w:val="00682D0A"/>
    <w:rsid w:val="00695753"/>
    <w:rsid w:val="006963F9"/>
    <w:rsid w:val="006A5EB0"/>
    <w:rsid w:val="006A6546"/>
    <w:rsid w:val="006B0BD4"/>
    <w:rsid w:val="006C6467"/>
    <w:rsid w:val="006D17D0"/>
    <w:rsid w:val="006D7046"/>
    <w:rsid w:val="006D73B9"/>
    <w:rsid w:val="0070523B"/>
    <w:rsid w:val="007238D2"/>
    <w:rsid w:val="0073509B"/>
    <w:rsid w:val="00760BC0"/>
    <w:rsid w:val="00770223"/>
    <w:rsid w:val="00780E30"/>
    <w:rsid w:val="007A3B8E"/>
    <w:rsid w:val="007B32F3"/>
    <w:rsid w:val="007C4581"/>
    <w:rsid w:val="007E4DF3"/>
    <w:rsid w:val="007F11FB"/>
    <w:rsid w:val="007F5E0B"/>
    <w:rsid w:val="00832631"/>
    <w:rsid w:val="00843B92"/>
    <w:rsid w:val="00886CB3"/>
    <w:rsid w:val="00896D91"/>
    <w:rsid w:val="008C2010"/>
    <w:rsid w:val="008C2A35"/>
    <w:rsid w:val="008C4904"/>
    <w:rsid w:val="008F4236"/>
    <w:rsid w:val="008F4683"/>
    <w:rsid w:val="008F4CC8"/>
    <w:rsid w:val="0091615F"/>
    <w:rsid w:val="00917A59"/>
    <w:rsid w:val="00934B98"/>
    <w:rsid w:val="00936319"/>
    <w:rsid w:val="009474ED"/>
    <w:rsid w:val="00952B2C"/>
    <w:rsid w:val="00956E6D"/>
    <w:rsid w:val="0096747F"/>
    <w:rsid w:val="009747AB"/>
    <w:rsid w:val="009A2033"/>
    <w:rsid w:val="009A6104"/>
    <w:rsid w:val="009B2012"/>
    <w:rsid w:val="009C2FD5"/>
    <w:rsid w:val="009C4EA2"/>
    <w:rsid w:val="009D020E"/>
    <w:rsid w:val="009D061A"/>
    <w:rsid w:val="009D1F17"/>
    <w:rsid w:val="009D2EEC"/>
    <w:rsid w:val="009D496B"/>
    <w:rsid w:val="009D4E09"/>
    <w:rsid w:val="009E481E"/>
    <w:rsid w:val="00A00194"/>
    <w:rsid w:val="00A15F53"/>
    <w:rsid w:val="00A30929"/>
    <w:rsid w:val="00A47951"/>
    <w:rsid w:val="00A70A78"/>
    <w:rsid w:val="00A74717"/>
    <w:rsid w:val="00AA190B"/>
    <w:rsid w:val="00AD2E10"/>
    <w:rsid w:val="00AD3E7D"/>
    <w:rsid w:val="00AF5458"/>
    <w:rsid w:val="00B25E80"/>
    <w:rsid w:val="00B420DA"/>
    <w:rsid w:val="00B55E4B"/>
    <w:rsid w:val="00B676E0"/>
    <w:rsid w:val="00B808A4"/>
    <w:rsid w:val="00B93A9B"/>
    <w:rsid w:val="00BB4272"/>
    <w:rsid w:val="00BC2A25"/>
    <w:rsid w:val="00BC7868"/>
    <w:rsid w:val="00BE4331"/>
    <w:rsid w:val="00C62ECA"/>
    <w:rsid w:val="00C647EF"/>
    <w:rsid w:val="00C73FE8"/>
    <w:rsid w:val="00C833CA"/>
    <w:rsid w:val="00C85A33"/>
    <w:rsid w:val="00C90CB9"/>
    <w:rsid w:val="00CC49DC"/>
    <w:rsid w:val="00CD3CB9"/>
    <w:rsid w:val="00CF4090"/>
    <w:rsid w:val="00D01F4B"/>
    <w:rsid w:val="00D06432"/>
    <w:rsid w:val="00D126CB"/>
    <w:rsid w:val="00D16F66"/>
    <w:rsid w:val="00D42DA4"/>
    <w:rsid w:val="00D46DD7"/>
    <w:rsid w:val="00D60098"/>
    <w:rsid w:val="00D6265F"/>
    <w:rsid w:val="00D73F53"/>
    <w:rsid w:val="00D84800"/>
    <w:rsid w:val="00DC272E"/>
    <w:rsid w:val="00DC36F5"/>
    <w:rsid w:val="00DC7079"/>
    <w:rsid w:val="00DE0491"/>
    <w:rsid w:val="00DE08A2"/>
    <w:rsid w:val="00E11C0D"/>
    <w:rsid w:val="00E46043"/>
    <w:rsid w:val="00E60179"/>
    <w:rsid w:val="00E76336"/>
    <w:rsid w:val="00E86149"/>
    <w:rsid w:val="00E86D9F"/>
    <w:rsid w:val="00E97AFA"/>
    <w:rsid w:val="00EA2043"/>
    <w:rsid w:val="00EB58F2"/>
    <w:rsid w:val="00EC7734"/>
    <w:rsid w:val="00ED555A"/>
    <w:rsid w:val="00EE4069"/>
    <w:rsid w:val="00EE6FF9"/>
    <w:rsid w:val="00F15975"/>
    <w:rsid w:val="00F3148E"/>
    <w:rsid w:val="00F374A5"/>
    <w:rsid w:val="00F37FA9"/>
    <w:rsid w:val="00F55039"/>
    <w:rsid w:val="00F7478A"/>
    <w:rsid w:val="00F84A94"/>
    <w:rsid w:val="00F9496B"/>
    <w:rsid w:val="00FA283A"/>
    <w:rsid w:val="00FC5621"/>
    <w:rsid w:val="00FC5624"/>
    <w:rsid w:val="00FD1373"/>
    <w:rsid w:val="00FD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0"/>
    <o:shapelayout v:ext="edit">
      <o:idmap v:ext="edit" data="1"/>
    </o:shapelayout>
  </w:shapeDefaults>
  <w:decimalSymbol w:val="."/>
  <w:listSeparator w:val=","/>
  <w14:docId w14:val="253D1B33"/>
  <w15:docId w15:val="{5396B5CA-8ADE-456A-B78D-BD3C2A4A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3068"/>
    <w:pPr>
      <w:jc w:val="center"/>
    </w:pPr>
    <w:rPr>
      <w:rFonts w:ascii="Arial" w:hAnsi="Arial"/>
      <w:b/>
      <w:sz w:val="21"/>
    </w:rPr>
  </w:style>
  <w:style w:type="paragraph" w:styleId="BalloonText">
    <w:name w:val="Balloon Text"/>
    <w:basedOn w:val="Normal"/>
    <w:semiHidden/>
    <w:rsid w:val="006963F9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EE406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</w:rPr>
  </w:style>
  <w:style w:type="table" w:styleId="TableGrid">
    <w:name w:val="Table Grid"/>
    <w:basedOn w:val="TableNormal"/>
    <w:rsid w:val="00EE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78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786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8792D"/>
    <w:rPr>
      <w:color w:val="0000FF"/>
      <w:u w:val="single"/>
    </w:rPr>
  </w:style>
  <w:style w:type="paragraph" w:styleId="PlainText">
    <w:name w:val="Plain Text"/>
    <w:basedOn w:val="Normal"/>
    <w:rsid w:val="005E33C6"/>
    <w:pPr>
      <w:spacing w:line="160" w:lineRule="exact"/>
    </w:pPr>
    <w:rPr>
      <w:rFonts w:ascii="Courier New" w:hAnsi="Courier New" w:cs="Courier New"/>
      <w:lang w:eastAsia="en-US"/>
    </w:rPr>
  </w:style>
  <w:style w:type="paragraph" w:customStyle="1" w:styleId="Style1">
    <w:name w:val="Style1"/>
    <w:basedOn w:val="Normal"/>
    <w:rsid w:val="005E33C6"/>
    <w:pPr>
      <w:spacing w:line="160" w:lineRule="exact"/>
    </w:pPr>
    <w:rPr>
      <w:rFonts w:ascii="Courier New" w:hAnsi="Courier New"/>
      <w:sz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7E4DF3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locked/>
    <w:rsid w:val="00440F3D"/>
    <w:rPr>
      <w:rFonts w:ascii="Arial" w:hAnsi="Arial"/>
      <w:b/>
      <w:sz w:val="21"/>
      <w:lang w:val="en-US"/>
    </w:rPr>
  </w:style>
  <w:style w:type="character" w:styleId="CommentReference">
    <w:name w:val="annotation reference"/>
    <w:basedOn w:val="DefaultParagraphFont"/>
    <w:semiHidden/>
    <w:unhideWhenUsed/>
    <w:rsid w:val="00EC77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7734"/>
  </w:style>
  <w:style w:type="character" w:customStyle="1" w:styleId="CommentTextChar">
    <w:name w:val="Comment Text Char"/>
    <w:basedOn w:val="DefaultParagraphFont"/>
    <w:link w:val="CommentText"/>
    <w:semiHidden/>
    <w:rsid w:val="00EC773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7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7734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4A617-F8B0-4F66-8C1C-8B85A886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INTERNATIONAL TRUST PLC</vt:lpstr>
    </vt:vector>
  </TitlesOfParts>
  <Company>Aberdeen Asset Management</Company>
  <LinksUpToDate>false</LinksUpToDate>
  <CharactersWithSpaces>1782</CharactersWithSpaces>
  <SharedDoc>false</SharedDoc>
  <HLinks>
    <vt:vector size="12" baseType="variant">
      <vt:variant>
        <vt:i4>4849691</vt:i4>
      </vt:variant>
      <vt:variant>
        <vt:i4>3</vt:i4>
      </vt:variant>
      <vt:variant>
        <vt:i4>0</vt:i4>
      </vt:variant>
      <vt:variant>
        <vt:i4>5</vt:i4>
      </vt:variant>
      <vt:variant>
        <vt:lpwstr>http://www.//hemscott.com/nsm.do</vt:lpwstr>
      </vt:variant>
      <vt:variant>
        <vt:lpwstr/>
      </vt:variant>
      <vt:variant>
        <vt:i4>8126514</vt:i4>
      </vt:variant>
      <vt:variant>
        <vt:i4>0</vt:i4>
      </vt:variant>
      <vt:variant>
        <vt:i4>0</vt:i4>
      </vt:variant>
      <vt:variant>
        <vt:i4>5</vt:i4>
      </vt:variant>
      <vt:variant>
        <vt:lpwstr>http://www.mavencp.com/migvct5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INTERNATIONAL TRUST PLC</dc:title>
  <dc:creator>Administrator</dc:creator>
  <cp:lastModifiedBy>Lisa Scott</cp:lastModifiedBy>
  <cp:revision>2</cp:revision>
  <cp:lastPrinted>2019-03-21T11:41:00Z</cp:lastPrinted>
  <dcterms:created xsi:type="dcterms:W3CDTF">2023-05-11T14:29:00Z</dcterms:created>
  <dcterms:modified xsi:type="dcterms:W3CDTF">2023-05-11T14:29:00Z</dcterms:modified>
</cp:coreProperties>
</file>